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2024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7FE0C309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bookmarkStart w:id="0" w:name="_GoBack"/>
      <w:r>
        <w:rPr>
          <w:rFonts w:hint="eastAsia"/>
          <w:sz w:val="28"/>
          <w:u w:val="single"/>
          <w:lang w:val="en-US" w:eastAsia="zh-CN"/>
        </w:rPr>
        <w:t>海南师范大学物理与电子工程学院</w:t>
      </w:r>
      <w:bookmarkEnd w:id="0"/>
    </w:p>
    <w:p w14:paraId="33F186C4">
      <w:pPr>
        <w:ind w:firstLine="1960" w:firstLineChars="700"/>
        <w:rPr>
          <w:sz w:val="28"/>
        </w:rPr>
      </w:pPr>
    </w:p>
    <w:p w14:paraId="77533949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  </w:t>
      </w:r>
      <w:r>
        <w:rPr>
          <w:rFonts w:hint="eastAsia"/>
          <w:sz w:val="30"/>
          <w:u w:val="single"/>
          <w:lang w:val="en-US" w:eastAsia="zh-CN"/>
        </w:rPr>
        <w:t>杨 红</w:t>
      </w:r>
      <w:r>
        <w:rPr>
          <w:rFonts w:hint="eastAsia"/>
          <w:sz w:val="30"/>
          <w:u w:val="single"/>
        </w:rPr>
        <w:t xml:space="preserve">          </w:t>
      </w:r>
    </w:p>
    <w:p w14:paraId="3941278B">
      <w:pPr>
        <w:ind w:firstLine="1920" w:firstLineChars="800"/>
        <w:rPr>
          <w:sz w:val="24"/>
        </w:rPr>
      </w:pPr>
    </w:p>
    <w:p w14:paraId="24FFBAF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6EC6580B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  <w:lang w:val="en-US" w:eastAsia="zh-CN"/>
        </w:rPr>
        <w:t>副教授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        </w:t>
      </w:r>
    </w:p>
    <w:p w14:paraId="5D85DF24">
      <w:pPr>
        <w:ind w:firstLine="1920" w:firstLineChars="800"/>
        <w:rPr>
          <w:sz w:val="24"/>
          <w:u w:val="single"/>
        </w:rPr>
      </w:pPr>
    </w:p>
    <w:p w14:paraId="40CDFA03">
      <w:pPr>
        <w:ind w:firstLine="1920" w:firstLineChars="800"/>
        <w:rPr>
          <w:sz w:val="24"/>
        </w:rPr>
      </w:pPr>
    </w:p>
    <w:p w14:paraId="66F9669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  <w:u w:val="single"/>
          <w:lang w:val="en-US" w:eastAsia="zh-CN"/>
        </w:rPr>
        <w:t xml:space="preserve">物理学 </w:t>
      </w:r>
      <w:r>
        <w:rPr>
          <w:rFonts w:hint="eastAsia"/>
          <w:sz w:val="24"/>
          <w:u w:val="single"/>
        </w:rPr>
        <w:t xml:space="preserve">           </w:t>
      </w:r>
    </w:p>
    <w:p w14:paraId="391731C4">
      <w:pPr>
        <w:ind w:firstLine="1920" w:firstLineChars="800"/>
        <w:rPr>
          <w:sz w:val="24"/>
        </w:rPr>
      </w:pPr>
    </w:p>
    <w:p w14:paraId="19DEF507">
      <w:pPr>
        <w:ind w:firstLine="1920" w:firstLineChars="800"/>
        <w:rPr>
          <w:sz w:val="24"/>
        </w:rPr>
      </w:pPr>
    </w:p>
    <w:p w14:paraId="5135A45D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>教学科研型教授</w:t>
      </w:r>
      <w:r>
        <w:rPr>
          <w:rFonts w:hint="eastAsia"/>
          <w:sz w:val="24"/>
          <w:u w:val="single"/>
        </w:rPr>
        <w:t xml:space="preserve">          </w:t>
      </w:r>
    </w:p>
    <w:p w14:paraId="1C4E4A42">
      <w:pPr>
        <w:ind w:firstLine="1920" w:firstLineChars="800"/>
        <w:rPr>
          <w:sz w:val="24"/>
        </w:rPr>
      </w:pPr>
    </w:p>
    <w:p w14:paraId="228C7535">
      <w:pPr>
        <w:ind w:firstLine="1920" w:firstLineChars="800"/>
        <w:rPr>
          <w:sz w:val="24"/>
        </w:rPr>
      </w:pPr>
    </w:p>
    <w:p w14:paraId="24D6465B"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          </w:t>
      </w:r>
    </w:p>
    <w:p w14:paraId="5D6E9F5D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</w:t>
      </w:r>
      <w:r>
        <w:rPr>
          <w:rFonts w:hint="eastAsia"/>
          <w:sz w:val="24"/>
          <w:lang w:val="en-US" w:eastAsia="zh-CN"/>
        </w:rPr>
        <w:t>2025</w:t>
      </w:r>
      <w:r>
        <w:rPr>
          <w:rFonts w:hint="eastAsia"/>
          <w:sz w:val="24"/>
        </w:rPr>
        <w:t xml:space="preserve"> 年  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 xml:space="preserve"> 月  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 xml:space="preserve">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杨红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1985.07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民主促进会会员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028700" cy="1444625"/>
                  <wp:effectExtent l="0" t="0" r="0" b="3175"/>
                  <wp:docPr id="1" name="图片 1" descr="232302198507243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3230219850724302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A8AA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高校教师资格证</w:t>
            </w:r>
          </w:p>
          <w:p w14:paraId="60B3CD7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光学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吉林大学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研究生学历/博士学位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光学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原子物理/大学物理/原子光学/量子光学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七级副高晋升四级正高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40C08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3B7DAED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副教授/2016.12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93FA88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2020.07</w:t>
            </w:r>
          </w:p>
          <w:p w14:paraId="7511839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物理与电子工程学院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光学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免试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物理学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  <w:lang w:val="en-US" w:eastAsia="zh-CN"/>
              </w:rPr>
              <w:t>发表4篇SCI二区Top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2024年2月-2024年9月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交流讨论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物理学院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吴金辉、张岩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ABD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FAA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53F50359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2013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至今</w:t>
            </w:r>
          </w:p>
        </w:tc>
        <w:tc>
          <w:tcPr>
            <w:tcW w:w="3265" w:type="dxa"/>
          </w:tcPr>
          <w:p w14:paraId="06B6440B">
            <w:pPr>
              <w:ind w:firstLine="1050" w:firstLineChars="500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</w:tcPr>
          <w:p w14:paraId="2442C75B">
            <w:pPr>
              <w:ind w:firstLine="420" w:firstLineChars="200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物理学教学、科研</w:t>
            </w:r>
          </w:p>
        </w:tc>
        <w:tc>
          <w:tcPr>
            <w:tcW w:w="1701" w:type="dxa"/>
          </w:tcPr>
          <w:p w14:paraId="0E42F470">
            <w:pPr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专任教师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3F848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5A4BD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62330B85">
            <w:pPr>
              <w:rPr>
                <w:sz w:val="21"/>
                <w:szCs w:val="21"/>
              </w:rPr>
            </w:pP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35C2E79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 w:val="21"/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 w:val="21"/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758A505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BDEC9D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 w:val="21"/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E4D788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58E929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 w:val="21"/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 w:val="21"/>
                <w:szCs w:val="21"/>
              </w:rPr>
            </w:pPr>
          </w:p>
        </w:tc>
      </w:tr>
    </w:tbl>
    <w:p w14:paraId="6F28E07E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CEC6110"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sz w:val="24"/>
                <w:szCs w:val="24"/>
              </w:rPr>
              <w:t>该同志遵纪守法、爱岗敬业、为人踏实、师德师风良好。旗帜鲜明的拥护党的路线、方针、政策，自觉学习党的最新理论成果，具有坚定的政治立场。</w:t>
            </w:r>
          </w:p>
          <w:p w14:paraId="56D77AB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2020年（合格）、2021-2023（连续三年优秀）、2024年（合格）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2020-2021（合格）、2022（优秀）、2023-2024（合格）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2017年9月--2018年6月休产假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2020.06-2021.07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担任2017级物理1、2班班主任；</w:t>
            </w:r>
            <w:r>
              <w:rPr>
                <w:rFonts w:hint="eastAsia" w:ascii="宋体" w:hAnsi="宋体" w:cs="Arial"/>
                <w:kern w:val="0"/>
                <w:szCs w:val="21"/>
              </w:rPr>
              <w:t>2022.09至今担任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22级物理1班</w:t>
            </w:r>
            <w:r>
              <w:rPr>
                <w:rFonts w:hint="eastAsia" w:ascii="宋体" w:hAnsi="宋体" w:cs="Arial"/>
                <w:kern w:val="0"/>
                <w:szCs w:val="21"/>
              </w:rPr>
              <w:t>班主任</w:t>
            </w:r>
          </w:p>
        </w:tc>
      </w:tr>
    </w:tbl>
    <w:p w14:paraId="69E7A5A1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709"/>
        <w:gridCol w:w="1559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0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1344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207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1224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188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）届；或担任本科生创新创业活动（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）项；或担任本科生专业竞赛指导（   ）项；或担任本科生开展寒暑假社会实践（  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2016-2017（二）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大学物理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16级数物信10、11班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2018-2019（一）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16级物理2班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2018-2019（二）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大学物理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18级数物信9、10班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90+28=118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F044487"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17级物理2班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2019-2020（二）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大学物理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19级数物信5、6班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75+32=107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27B3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394D3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C30BF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330FC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18级物理2班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03A8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312A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2CC2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7038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E08D7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4407CB7"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A3CB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2020-2021（二）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7A4C0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大学物理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AC4B7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20级地化生8、9班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5FCD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75+32=107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99C9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E57C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0075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C97F8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3BFD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CFC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43BF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533ED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19级物理1、2班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BD888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48*2=96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C35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64F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8F7F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79E76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B772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9681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2021-2022（二）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067C7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大学物理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C939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21级数物信5、6班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F69A8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75+40=115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6E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F823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0D3E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93770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77F9EA5"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33C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BC8C7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6CD8A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20级物理1、2班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C203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48*2=96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3CCD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D04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BFFC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75E96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2C02BA2"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9FC6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2022-2023（二）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06668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大学物理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68844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22级数物信14、15、16班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6E30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75+48=123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BCA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96E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681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7E8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8C65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994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4FC52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A88E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21级物理1、2班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57080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48*2=96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5F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DA5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0401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0034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53F7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9836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2024-2025（一）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740FB7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原子物理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A5C6B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22级物理1、2班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2DED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48*2=96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8931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64C5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89FD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63068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CFEE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9D4F6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57110D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27B99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40C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2E63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43C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098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40CEA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2020-2021（二）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原子光学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20级物理学硕士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6739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9F58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9F0CC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量子光学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45570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23级物理学硕士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933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9D5D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474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9C8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FA83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DB6A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8271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2024-2025（一）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0462D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量子光学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B4EC7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23级物理学硕士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18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805F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36A5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F06E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76B8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404638"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01AFBA3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color w:val="C00000"/>
                <w:szCs w:val="21"/>
                <w:highlight w:val="none"/>
              </w:rPr>
            </w:pPr>
          </w:p>
          <w:p w14:paraId="1626DF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指导本科生毕业论文22人，校级优秀毕业论文5篇；研究生毕业论文5篇，学院推荐省优秀2篇。</w:t>
            </w:r>
          </w:p>
          <w:p w14:paraId="74BFAE10">
            <w:p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物理学本科毕业论文情况：</w:t>
            </w:r>
          </w:p>
          <w:p w14:paraId="4D28E43D"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2015级</w:t>
            </w:r>
          </w:p>
          <w:p w14:paraId="3AE7C4A6">
            <w:pPr>
              <w:numPr>
                <w:ilvl w:val="0"/>
                <w:numId w:val="1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三能级Lambda原子模型系统中极化率的研究（邱奥）</w:t>
            </w:r>
          </w:p>
          <w:p w14:paraId="4C478BD5">
            <w:pPr>
              <w:numPr>
                <w:ilvl w:val="0"/>
                <w:numId w:val="1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一维光晶格中动力学可调光子带隙的理论研究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（莫朝什）</w:t>
            </w:r>
          </w:p>
          <w:p w14:paraId="43FB5A61"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2016级</w:t>
            </w:r>
          </w:p>
          <w:p w14:paraId="08561FC1">
            <w:pPr>
              <w:numPr>
                <w:ilvl w:val="0"/>
                <w:numId w:val="2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一维光晶格中双耦合光调制的光子带隙（王艺燕）</w:t>
            </w:r>
          </w:p>
          <w:p w14:paraId="7DB8604F">
            <w:pPr>
              <w:numPr>
                <w:ilvl w:val="0"/>
                <w:numId w:val="2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班级力量的形成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（杨金）</w:t>
            </w:r>
          </w:p>
          <w:p w14:paraId="1A6EE542">
            <w:pPr>
              <w:numPr>
                <w:ilvl w:val="0"/>
                <w:numId w:val="2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一维光晶格中相干操控的多带隙结构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（李天明）</w:t>
            </w:r>
          </w:p>
          <w:p w14:paraId="40533A20">
            <w:pPr>
              <w:numPr>
                <w:ilvl w:val="0"/>
                <w:numId w:val="2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一维光晶格中多色反射率的研究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（王茂桦，校优秀毕业论文）</w:t>
            </w:r>
          </w:p>
          <w:p w14:paraId="741DD13E"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2017级</w:t>
            </w:r>
          </w:p>
          <w:p w14:paraId="5BAE5525">
            <w:pPr>
              <w:numPr>
                <w:ilvl w:val="0"/>
                <w:numId w:val="3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基于空间 Kramers-Kronig 关系 单向双色光的研究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（耿玥，校优秀毕业论文）</w:t>
            </w:r>
          </w:p>
          <w:p w14:paraId="4198486F">
            <w:pPr>
              <w:numPr>
                <w:ilvl w:val="0"/>
                <w:numId w:val="3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基于空间 Kramers-Kronig 关系单向 单色光的动力学调控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（汪心瑶）</w:t>
            </w:r>
          </w:p>
          <w:p w14:paraId="685DEBA5">
            <w:pPr>
              <w:numPr>
                <w:ilvl w:val="0"/>
                <w:numId w:val="3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相干冷原子系统中光传播特性的研究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（李芷兰）</w:t>
            </w:r>
          </w:p>
          <w:p w14:paraId="4B17D29E">
            <w:pPr>
              <w:numPr>
                <w:ilvl w:val="0"/>
                <w:numId w:val="3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海南地区中学物理实验教学现状调研 ——同级别中学抽样调查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 xml:space="preserve">雷肃君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）</w:t>
            </w:r>
          </w:p>
          <w:p w14:paraId="02E871B7">
            <w:p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2018级</w:t>
            </w:r>
          </w:p>
          <w:p w14:paraId="2DE9D9C0">
            <w:pPr>
              <w:numPr>
                <w:ilvl w:val="0"/>
                <w:numId w:val="4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一维缺陷光晶格中单向双色光的研究（张津）</w:t>
            </w:r>
          </w:p>
          <w:p w14:paraId="0E6D9E5A">
            <w:pPr>
              <w:numPr>
                <w:ilvl w:val="0"/>
                <w:numId w:val="4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一维缺陷光晶格中单色单向光的研究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（李洁雪）</w:t>
            </w:r>
          </w:p>
          <w:p w14:paraId="71643E20">
            <w:pPr>
              <w:numPr>
                <w:ilvl w:val="0"/>
                <w:numId w:val="4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基于空间 Kramers-Kronig关系单向光的研究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（李仰德，校优秀毕业论文）</w:t>
            </w:r>
          </w:p>
          <w:p w14:paraId="3D2C8C20"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2019级</w:t>
            </w:r>
          </w:p>
          <w:p w14:paraId="769FA882">
            <w:pPr>
              <w:numPr>
                <w:ilvl w:val="0"/>
                <w:numId w:val="5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基于四波混频探测光放大的研究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（彭晨）</w:t>
            </w:r>
          </w:p>
          <w:p w14:paraId="02CF293D">
            <w:pPr>
              <w:numPr>
                <w:ilvl w:val="0"/>
                <w:numId w:val="5"/>
              </w:numPr>
              <w:spacing w:line="600" w:lineRule="exact"/>
              <w:ind w:left="0" w:leftChars="0" w:firstLine="0" w:firstLineChars="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动力学调控双色光传播的研究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（张改新）</w:t>
            </w:r>
          </w:p>
          <w:p w14:paraId="6BFD49C5">
            <w:pPr>
              <w:numPr>
                <w:ilvl w:val="0"/>
                <w:numId w:val="5"/>
              </w:numPr>
              <w:spacing w:line="600" w:lineRule="exact"/>
              <w:ind w:left="0" w:leftChars="0" w:firstLine="0" w:firstLineChars="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增益原子系统中探测光传播特性的研究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（张泽童，校级优秀毕业论文）</w:t>
            </w:r>
          </w:p>
          <w:p w14:paraId="7F54A618">
            <w:pPr>
              <w:numPr>
                <w:ilvl w:val="0"/>
                <w:numId w:val="4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双光子共振探测光放大的研究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（郑怡婷）</w:t>
            </w:r>
          </w:p>
          <w:p w14:paraId="78DD0B39"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2020级</w:t>
            </w:r>
          </w:p>
          <w:p w14:paraId="7E2E6BCD">
            <w:pPr>
              <w:numPr>
                <w:ilvl w:val="0"/>
                <w:numId w:val="6"/>
              </w:numPr>
              <w:spacing w:line="600" w:lineRule="exac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单色光子带隙的动力学调控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吕彦博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）</w:t>
            </w:r>
          </w:p>
          <w:p w14:paraId="55B739D0">
            <w:pPr>
              <w:numPr>
                <w:ilvl w:val="0"/>
                <w:numId w:val="6"/>
              </w:numPr>
              <w:spacing w:line="600" w:lineRule="exact"/>
              <w:ind w:left="0" w:leftChars="0" w:firstLine="0" w:firstLineChars="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基于空间极化率调制的探测光传播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（张敏）</w:t>
            </w:r>
          </w:p>
          <w:p w14:paraId="50FD18AD">
            <w:pPr>
              <w:numPr>
                <w:ilvl w:val="0"/>
                <w:numId w:val="6"/>
              </w:numPr>
              <w:spacing w:line="600" w:lineRule="exact"/>
              <w:ind w:left="0" w:leftChars="0" w:firstLine="0" w:firstLineChars="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双色光反射的理论研究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（李文茜，校级优秀毕业论文）</w:t>
            </w:r>
          </w:p>
          <w:p w14:paraId="31AE0975">
            <w:pPr>
              <w:numPr>
                <w:ilvl w:val="0"/>
                <w:numId w:val="6"/>
              </w:numPr>
              <w:spacing w:line="600" w:lineRule="exact"/>
              <w:ind w:left="0" w:leftChars="0" w:firstLine="0" w:firstLineChars="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一维光晶格中基于双光子共振光传播的研究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鄢琛源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）</w:t>
            </w:r>
          </w:p>
          <w:p w14:paraId="7568C74D">
            <w:pPr>
              <w:numPr>
                <w:ilvl w:val="0"/>
                <w:numId w:val="6"/>
              </w:numPr>
              <w:spacing w:line="600" w:lineRule="exact"/>
              <w:ind w:left="0" w:leftChars="0" w:firstLine="0" w:firstLineChars="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一维光晶格中探测光透射的研究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（张精灵）</w:t>
            </w:r>
          </w:p>
          <w:p w14:paraId="00091B9E">
            <w:p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物理学研究生毕业论文指导情况：</w:t>
            </w:r>
          </w:p>
          <w:p w14:paraId="4B045B31">
            <w:pPr>
              <w:spacing w:line="600" w:lineRule="exact"/>
              <w:jc w:val="left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2020级</w:t>
            </w:r>
          </w:p>
          <w:p w14:paraId="20CBFB45">
            <w:pPr>
              <w:numPr>
                <w:ilvl w:val="0"/>
                <w:numId w:val="7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基于各向同性原子介质中光学非互易性 的动力学调控（裴笑山，推荐省优秀毕业论文）</w:t>
            </w:r>
          </w:p>
          <w:p w14:paraId="028BC66F">
            <w:pPr>
              <w:numPr>
                <w:ilvl w:val="0"/>
                <w:numId w:val="7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基于空间 Kramers-Kronig关系双色非互易 光反射的动力学调控（范昕）</w:t>
            </w:r>
          </w:p>
          <w:p w14:paraId="16BEA5B3"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2021级</w:t>
            </w:r>
          </w:p>
          <w:p w14:paraId="66933A32">
            <w:pPr>
              <w:numPr>
                <w:ilvl w:val="0"/>
                <w:numId w:val="8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基 于 四 波 混 频 和 自 发 辐 射 相 干 的 非 互 易 光 反 射 及 放 大 研 究（耿玥，推荐省优秀毕业论文）</w:t>
            </w:r>
          </w:p>
          <w:p w14:paraId="17F2199C">
            <w:pPr>
              <w:numPr>
                <w:ilvl w:val="0"/>
                <w:numId w:val="8"/>
              </w:numPr>
              <w:spacing w:line="600" w:lineRule="exact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相干增益原子系统中非互易反射光放大的研究（林新宇）</w:t>
            </w:r>
          </w:p>
          <w:p w14:paraId="77F04FD2">
            <w:pPr>
              <w:numPr>
                <w:ilvl w:val="0"/>
                <w:numId w:val="8"/>
              </w:numPr>
              <w:spacing w:line="6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Λ型原子系统中几种相干调制非互易反射光放大的研究（李观荣）</w:t>
            </w:r>
          </w:p>
          <w:p w14:paraId="3AB26FBF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  <w:p w14:paraId="4A3B2F7E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4320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2400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1500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160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6420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5952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A3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rFonts w:ascii="Sun-ExtA" w:hAnsi="Sun-ExtA" w:eastAsia="Sun-ExtA" w:cs="Sun-ExtA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基于缺陷原子晶格的非互易光传播动力学调控与应用研究 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25B9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eastAsia="宋体" w:cs="宋体" w:asciiTheme="minorAscii" w:hAnsiTheme="minorAscii"/>
                <w:color w:val="000000"/>
                <w:kern w:val="0"/>
                <w:sz w:val="20"/>
                <w:szCs w:val="20"/>
                <w:lang w:val="en-US" w:eastAsia="zh-CN" w:bidi="ar"/>
              </w:rPr>
              <w:t>12204137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</w:p>
          <w:p w14:paraId="59BF6FA3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国家自然基金委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2023.01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2000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闭合回路冷原子模型系统中基于四波混频探测光增益的研究 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118QN230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2018.01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  <w:rPr>
                <w:b w:val="0"/>
                <w:bCs w:val="0"/>
              </w:rPr>
            </w:pPr>
          </w:p>
          <w:p w14:paraId="115E8AF6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7E2D9F6F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1103E432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2E20E3C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Phase and detuning control of the unidirectional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reflection amplification based on the broken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spatial symmetry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5A3388B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Opt. Express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):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/>
              </w:rPr>
              <w:t>12839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/>
              </w:rPr>
              <w:t>12851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(202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D02FDD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0BE926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A857AE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160DAD9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600</w:t>
            </w:r>
          </w:p>
        </w:tc>
      </w:tr>
      <w:tr w14:paraId="4F8A00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0BDB112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053DC9E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46026F86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67B718A7"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  <w:lang w:val="en-US" w:eastAsia="zh-CN"/>
              </w:rPr>
              <w:t>sp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</w:rPr>
              <w:t>atial susceptibility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modulation and controlled unidirectional reflection amplification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  <w:lang w:val="en-US" w:eastAsia="zh-CN"/>
              </w:rPr>
              <w:t>via four-wave mixin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25D7C8A6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Opt. Express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23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):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/>
              </w:rPr>
              <w:t>38228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/>
              </w:rPr>
              <w:t>38239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(202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57FD411D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23608B2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535F2A2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7462547C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6F349B9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22097396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37B6E0D0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A33407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</w:rPr>
              <w:t>Two-color unidirectional reflections by modulating the spatial susceptibility in a homogeneous atomic medium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6B94F4D8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Opt. Express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(9):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/>
              </w:rPr>
              <w:t>14694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/>
              </w:rPr>
              <w:t>14704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(202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7638935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A07D16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DFBFAF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9868457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600</w:t>
            </w:r>
          </w:p>
        </w:tc>
      </w:tr>
      <w:tr w14:paraId="0118D5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4E776886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1168F36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52985E3E">
            <w:pPr>
              <w:widowControl/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2B178E2B">
            <w:pPr>
              <w:widowControl/>
              <w:jc w:val="center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Uniform quantification of correlations for bipartite systems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6B287367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Phys. Rev. A,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95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(4): 042316-1-042316-4 (2017).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0D731EBD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0B8DBC0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8118058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954D851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600</w:t>
            </w:r>
          </w:p>
        </w:tc>
      </w:tr>
      <w:tr w14:paraId="3F8D55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6752B6A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7CF43B5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3DB2A5EB">
            <w:pPr>
              <w:widowControl/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43BC5F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</w:rPr>
              <w:t xml:space="preserve">Broadband unidirectional reflection amplification in a one-dimensional defective atomic 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lang w:val="en-US" w:eastAsia="zh-CN"/>
              </w:rPr>
              <w:t>lattice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69B1F04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Phys. Rev. A, 110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, 063724 (2024). 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32E8E87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70959DE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6F061097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72DAD9F0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 w14:paraId="5DDEB6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EB79E44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5F24855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413C0C54">
            <w:pPr>
              <w:widowControl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3DE8ED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Unidirectional photonic reflector using a defective atomic lattice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337184A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Phys. Rev. Reasearch,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, 023122 (2024). 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6F33D33E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218486B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142DCE04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43EA77A7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 w14:paraId="7CA395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4BE13C9C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58CCF72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77AFF545">
            <w:pPr>
              <w:widowControl/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7B57B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URWPalladioL-Bold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Amplified Nonreciprocal Reflection in a Uniform Atomic Medium with the Help of Spontaneous Emissions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4828932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URWPalladioL-Ital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Photonics</w:t>
            </w:r>
            <w:r>
              <w:rPr>
                <w:rFonts w:hint="default" w:ascii="Times New Roman" w:hAnsi="Times New Roman" w:eastAsia="URWPalladioL-Ital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URWPalladioL-Roma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URWPalladioL-Ital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URWPalladioL-Roma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, 389 </w:t>
            </w:r>
            <w:r>
              <w:rPr>
                <w:rFonts w:hint="default" w:ascii="Times New Roman" w:hAnsi="Times New Roman" w:eastAsia="URWPalladioL-Roma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default" w:ascii="Times New Roman" w:hAnsi="Times New Roman" w:eastAsia="URWPalladioL-Bold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2024).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3C974607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6279E5C4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2808068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7072AC5A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 w14:paraId="057671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1E30AF4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694581A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2523BEA3">
            <w:pPr>
              <w:widowControl/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183079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URWPalladioL-Bold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闭合回路相干增益原子系统中完美非互易反射光放大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45F5AEE9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URWPalladioL-Bold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物理学报, </w:t>
            </w:r>
            <w:r>
              <w:rPr>
                <w:rFonts w:hint="eastAsia" w:ascii="Times New Roman" w:hAnsi="Times New Roman" w:eastAsia="URWPalladioL-Bold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  <w:r>
              <w:rPr>
                <w:rFonts w:hint="eastAsia" w:ascii="Times New Roman" w:hAnsi="Times New Roman" w:eastAsia="URWPalladioL-Bold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(12), 126401 (2024).</w:t>
            </w:r>
          </w:p>
          <w:p w14:paraId="04FA0C12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32B38F5D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DC2180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6FD1ADA0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3462AA85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 w14:paraId="33CE7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7AE91A2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4E67947E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9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0A72CBFB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3B48E594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NimbusSanL-Bold" w:cs="Times New Roman"/>
                <w:kern w:val="0"/>
                <w:sz w:val="18"/>
                <w:szCs w:val="18"/>
              </w:rPr>
              <w:t>Three-color reflections in one-dimensional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NimbusSanL-Bold" w:cs="Times New Roman"/>
                <w:kern w:val="0"/>
                <w:sz w:val="18"/>
                <w:szCs w:val="18"/>
              </w:rPr>
              <w:t>ordered and disordered atomic lattices with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NimbusSanL-Bold" w:cs="Times New Roman"/>
                <w:kern w:val="0"/>
                <w:sz w:val="18"/>
                <w:szCs w:val="18"/>
              </w:rPr>
              <w:t>trapped N-type cold atoms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6756DE2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Opt. Express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30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(19): 34887-34897 (2022)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4BC22215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57F2A7D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11075A1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240FD649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 w14:paraId="5115BD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566C9435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375DA93E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2065A6A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353FEBA2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Dynamic manipulation of three-color light reflection in a defective atomic lattice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017EAFD9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Opt. Express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29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(20): 31767-31777 (2021)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90DA66B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0D8802E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129E5F8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623E32A0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 w14:paraId="1C693C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508F0BD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2DA4F9DD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52998A4F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033B226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Dynamically tunable three-color reflections immune to disorder in optical lattices with trapped cold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</w:rPr>
              <w:t>87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Rb atoms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28C6221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Phys. Rev. A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 xml:space="preserve">101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(5): 053856-1-053856-6 (2020)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0717ED9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78C23D3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2F2A901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1E57A7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 w14:paraId="24FC7B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1DFE6B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03C5AF77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2CD58E5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40D0E955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Inversionless gain via six-wave mixing and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the investigation of distributed feedback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77893895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Phys. Lett. A,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381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: 1620-1623 (2017)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2D67F541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6BE1E24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55AD65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8252BB5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4663A9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602AAC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744D32A2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2839D63A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CCCB62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Probe gain via four-wave mixing based on spontaneously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generated coherence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34B973F5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Chin. Phys. B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(2): 024204 (2017)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56DE294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7D8B097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7C1FE8A0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1C59D648">
            <w:pPr>
              <w:widowControl/>
              <w:jc w:val="center"/>
            </w:pPr>
          </w:p>
          <w:p w14:paraId="2AF2E7AF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 w14:paraId="610430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5764517B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B635329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14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5C0609F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67799B66">
            <w:pPr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基于相位调制的非互易反射光放大动力学调控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1B2C441">
            <w:pPr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量子电子学报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（4）616-625 （2024）。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F867D30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7F06390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D97AFD7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5C1318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</w:t>
            </w:r>
          </w:p>
        </w:tc>
      </w:tr>
      <w:tr w14:paraId="106FD8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7E49B94B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0DAB0DF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ABF50A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6F3776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67F54A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801F1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6AB6CAE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A3C5AD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448C9974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30AB22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81EB9D1">
      <w:pPr>
        <w:widowControl/>
        <w:ind w:firstLine="420" w:firstLineChars="200"/>
      </w:pP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025C787B">
            <w:pPr>
              <w:ind w:firstLine="560" w:firstLineChars="200"/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本人遵纪守法、爱岗敬业、为人踏实、师德师风良好。在工作中本着两个核心原则：1）教学科研两手抓，两手都要硬；2）教学是重中之重，永远放在工作的首位。</w:t>
            </w:r>
          </w:p>
          <w:p w14:paraId="119C55F2">
            <w:pPr>
              <w:ind w:firstLine="560" w:firstLineChars="200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在教学方面：主要讲授本科生专业课《原子物理学》和公共课《大学物理》2门课程；研究生《原子光学》和《量子光学》两门专业课程。尽心尽力讲授知识点，特别注重培养学生物理思维、开阔学生眼界，培养学生家国情怀。主要体现在上课过程中融入物理学前沿科技、典型人物事迹，让学生分享物理相关科学知识等，学生反映好。近5年指导的本科生每一年都斩获优秀毕业论文，硕士生连续两届获得物理学唯一推荐的省级优秀毕业论文。同时指导多名本科生和研究生创新创业项目，鼓励多名本科生考取研究生等。</w:t>
            </w:r>
          </w:p>
          <w:p w14:paraId="4FC6D0A4">
            <w:pPr>
              <w:ind w:firstLine="560" w:firstLineChars="200"/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在科研方面，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主要从事量子光学以及量子信息交叉学科领域的研究工作，以电磁感应光透明为基础相干操控探测光增益，一维光晶格系统中动力学调控光子带隙，基于缺陷光晶格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和均匀原子介质中破坏极化率的空间对称性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实现非互易光传播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及放大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的调控等。主持国家自然科学基金1项，海南省自然科学基金2项，以第二完成人参与国家自然科学基金3项，参与完成海南省自然科学基金重点以及一般项目9项。任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 xml:space="preserve"> Scientific report, </w:t>
            </w:r>
            <w:r>
              <w:rPr>
                <w:rFonts w:ascii="楷体" w:hAnsi="楷体" w:eastAsia="楷体" w:cs="Times New Roman"/>
                <w:kern w:val="0"/>
                <w:sz w:val="28"/>
                <w:szCs w:val="28"/>
              </w:rPr>
              <w:t>Optical Society of America</w:t>
            </w: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</w:rPr>
              <w:t>等杂志审稿人</w:t>
            </w: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/>
              </w:rPr>
              <w:t>;教育部学位评审专家。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现已在 “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Physical Review A”，“Optics Express</w:t>
            </w:r>
            <w:r>
              <w:rPr>
                <w:rFonts w:ascii="Times New Roman" w:hAnsi="Times New Roman" w:eastAsia="楷体" w:cs="Times New Roman"/>
                <w:sz w:val="28"/>
                <w:szCs w:val="28"/>
              </w:rPr>
              <w:t>”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等期刊上发表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SCI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论文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余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篇，出版专著1部</w:t>
            </w:r>
            <w:r>
              <w:rPr>
                <w:rFonts w:ascii="楷体" w:hAnsi="楷体" w:eastAsia="楷体"/>
                <w:sz w:val="28"/>
                <w:szCs w:val="28"/>
              </w:rPr>
              <w:t>。</w:t>
            </w:r>
          </w:p>
          <w:p w14:paraId="183591B4"/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杨红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物理与电子工程学院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物理学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教学科研型教授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-Roman" w:hAnsi="Times-Roman" w:eastAsia="Times-Roman" w:cs="Times-Roman"/>
                <w:color w:val="000000" w:themeColor="text1"/>
                <w:kern w:val="0"/>
                <w:sz w:val="21"/>
                <w:szCs w:val="21"/>
                <w:lang w:val="en-US" w:eastAsia="zh-CN" w:bidi="ar"/>
              </w:rPr>
              <w:t>Qiongyi Xu,</w:t>
            </w:r>
            <w:r>
              <w:rPr>
                <w:rFonts w:hint="default" w:ascii="Times-Roman" w:hAnsi="Times-Roman" w:eastAsia="Times-Roman" w:cs="Times-Roman"/>
                <w:color w:val="000000" w:themeColor="text1"/>
                <w:kern w:val="0"/>
                <w:sz w:val="21"/>
                <w:szCs w:val="21"/>
                <w:lang w:val="en-US" w:eastAsia="zh-CN" w:bidi="ar"/>
              </w:rPr>
              <w:t xml:space="preserve"> Guangrong Li, Yiting Zheng,Dong Yan, Hanxiao Zhang, Tinggui Zhang, and </w:t>
            </w:r>
            <w:r>
              <w:rPr>
                <w:rFonts w:hint="default" w:ascii="Times-Roman" w:hAnsi="Times-Roman" w:eastAsia="Times-Roman" w:cs="Times-Roman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"/>
              </w:rPr>
              <w:t>Hong Yang*</w:t>
            </w:r>
            <w:r>
              <w:rPr>
                <w:rFonts w:hint="eastAsia" w:ascii="Times-Roman" w:hAnsi="Times-Roman" w:eastAsia="Times-Roman" w:cs="Times-Roman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</w:rPr>
              <w:t xml:space="preserve">Broadband unidirectional reflection amplification in a one-dimensional defective atomic 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</w:rPr>
              <w:t xml:space="preserve">lattice,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Phys. Rev. A, 110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, 063724 (2024). 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Tian-ming Li,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Hong Yang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*,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Mao-hua Wang, Chen-ping,Yin, Ting-gui Zhang</w:t>
            </w:r>
            <w:r>
              <w:rPr>
                <w:rFonts w:hint="eastAsia" w:ascii="Times New Roman" w:hAnsi="Times New Roman" w:eastAsia="URWPalladioL-Bold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and Yan Zhang</w:t>
            </w:r>
            <w:r>
              <w:rPr>
                <w:rFonts w:hint="eastAsia" w:ascii="Times New Roman" w:hAnsi="Times New Roman" w:eastAsia="URWPalladioL-Bold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Unidirectional photonic reflector using a defective atomic lattice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Phys. Rev. Reasearch,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, 023122 (2024).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C79C90">
            <w:pPr>
              <w:pStyle w:val="8"/>
              <w:rPr>
                <w:kern w:val="0"/>
              </w:rPr>
            </w:pPr>
          </w:p>
          <w:p w14:paraId="7F4470DB">
            <w:pPr>
              <w:pStyle w:val="8"/>
              <w:rPr>
                <w:kern w:val="0"/>
              </w:rPr>
            </w:pPr>
          </w:p>
          <w:p w14:paraId="226999D1">
            <w:pPr>
              <w:pStyle w:val="8"/>
              <w:rPr>
                <w:kern w:val="0"/>
              </w:rPr>
            </w:pPr>
          </w:p>
          <w:p w14:paraId="409CEEC8">
            <w:pPr>
              <w:pStyle w:val="8"/>
              <w:rPr>
                <w:kern w:val="0"/>
              </w:rPr>
            </w:pPr>
          </w:p>
          <w:p w14:paraId="3D9A892C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un-Ext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PalladioL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PalladioL-It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PalladioL-Rom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SanL-Bold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4F1220"/>
    <w:multiLevelType w:val="singleLevel"/>
    <w:tmpl w:val="8F4F122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D85B520"/>
    <w:multiLevelType w:val="singleLevel"/>
    <w:tmpl w:val="AD85B52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A9A0F8A"/>
    <w:multiLevelType w:val="singleLevel"/>
    <w:tmpl w:val="BA9A0F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6923A00"/>
    <w:multiLevelType w:val="singleLevel"/>
    <w:tmpl w:val="F6923A00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0AE6A837"/>
    <w:multiLevelType w:val="singleLevel"/>
    <w:tmpl w:val="0AE6A8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3187131"/>
    <w:multiLevelType w:val="singleLevel"/>
    <w:tmpl w:val="131871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B509B2A"/>
    <w:multiLevelType w:val="singleLevel"/>
    <w:tmpl w:val="6B509B2A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B865343"/>
    <w:multiLevelType w:val="singleLevel"/>
    <w:tmpl w:val="7B8653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17C6B37"/>
    <w:rsid w:val="0319624C"/>
    <w:rsid w:val="04F82111"/>
    <w:rsid w:val="04F9213C"/>
    <w:rsid w:val="0643325A"/>
    <w:rsid w:val="0682749F"/>
    <w:rsid w:val="09393719"/>
    <w:rsid w:val="0A9B39E1"/>
    <w:rsid w:val="10066654"/>
    <w:rsid w:val="128672BB"/>
    <w:rsid w:val="141636D8"/>
    <w:rsid w:val="153B3244"/>
    <w:rsid w:val="160C3E3A"/>
    <w:rsid w:val="19773474"/>
    <w:rsid w:val="1999221B"/>
    <w:rsid w:val="1E1E083D"/>
    <w:rsid w:val="1E6D2325"/>
    <w:rsid w:val="26C836D0"/>
    <w:rsid w:val="2A685020"/>
    <w:rsid w:val="2CBF0E1F"/>
    <w:rsid w:val="2D9E4200"/>
    <w:rsid w:val="2FC80E98"/>
    <w:rsid w:val="30354AD0"/>
    <w:rsid w:val="304662FB"/>
    <w:rsid w:val="33D6278A"/>
    <w:rsid w:val="38BA425C"/>
    <w:rsid w:val="392C03A0"/>
    <w:rsid w:val="3A671203"/>
    <w:rsid w:val="3BA14335"/>
    <w:rsid w:val="3E6934EC"/>
    <w:rsid w:val="41245EE9"/>
    <w:rsid w:val="42996F46"/>
    <w:rsid w:val="43D9101E"/>
    <w:rsid w:val="473C009B"/>
    <w:rsid w:val="499C1040"/>
    <w:rsid w:val="49C05A15"/>
    <w:rsid w:val="49DF4468"/>
    <w:rsid w:val="4B167CD3"/>
    <w:rsid w:val="560C6511"/>
    <w:rsid w:val="58586480"/>
    <w:rsid w:val="5A943430"/>
    <w:rsid w:val="5C6C6C7F"/>
    <w:rsid w:val="5CA374D8"/>
    <w:rsid w:val="5F8F4A74"/>
    <w:rsid w:val="5FF214EF"/>
    <w:rsid w:val="61123226"/>
    <w:rsid w:val="62127F1E"/>
    <w:rsid w:val="62EA7456"/>
    <w:rsid w:val="64837EA3"/>
    <w:rsid w:val="66FD1A98"/>
    <w:rsid w:val="679F0C48"/>
    <w:rsid w:val="67D22E92"/>
    <w:rsid w:val="69AE5545"/>
    <w:rsid w:val="6AC141C7"/>
    <w:rsid w:val="6CEC63D9"/>
    <w:rsid w:val="6E4209C2"/>
    <w:rsid w:val="6FEE3414"/>
    <w:rsid w:val="71693AA3"/>
    <w:rsid w:val="7265409A"/>
    <w:rsid w:val="7B8513BE"/>
    <w:rsid w:val="7DB7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25</Pages>
  <Words>2950</Words>
  <Characters>3436</Characters>
  <Lines>81</Lines>
  <Paragraphs>22</Paragraphs>
  <TotalTime>22</TotalTime>
  <ScaleCrop>false</ScaleCrop>
  <LinksUpToDate>false</LinksUpToDate>
  <CharactersWithSpaces>3875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小抹香鯨</cp:lastModifiedBy>
  <cp:lastPrinted>2022-11-17T03:10:00Z</cp:lastPrinted>
  <dcterms:modified xsi:type="dcterms:W3CDTF">2025-06-12T03:09:10Z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eyJoZGlkIjoiYWFjY2Q5NmI0MGQzMTdkZTdhYjhhYzNkY2RmYTA5ZTQiLCJ1c2VySWQiOiI1ODkzOTkwMzkifQ==</vt:lpwstr>
  </property>
</Properties>
</file>